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AF51" w14:textId="1A147ABB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Bibliography:</w:t>
      </w:r>
    </w:p>
    <w:p w14:paraId="1EB52749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bookmarkStart w:id="0" w:name="_GoBack"/>
      <w:bookmarkEnd w:id="0"/>
    </w:p>
    <w:p w14:paraId="6AD0BF51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r>
        <w:rPr>
          <w:rFonts w:ascii="Arial" w:hAnsi="Arial" w:cs="Arial"/>
          <w:color w:val="222222"/>
          <w:sz w:val="20"/>
          <w:szCs w:val="20"/>
        </w:rPr>
        <w:t xml:space="preserve">Fein, D., Barton, M.,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Eigsti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I. M., Kelley, E.,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Naigles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L., Schultz, R. T., ...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Troyb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E. (2013). Optimal outcome in individuals with a history of autism.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child psychology and psychiatry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54</w:t>
      </w:r>
      <w:r>
        <w:rPr>
          <w:rFonts w:ascii="Arial" w:hAnsi="Arial" w:cs="Arial"/>
          <w:color w:val="222222"/>
          <w:sz w:val="20"/>
          <w:szCs w:val="20"/>
        </w:rPr>
        <w:t>(2), 195-205.</w:t>
      </w:r>
    </w:p>
    <w:p w14:paraId="6548813B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</w:p>
    <w:p w14:paraId="2992A98C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Orinstein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A., Tyson, K. E., Suh, J.,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Troyb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Helt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M., Rosenthal, M., ... &amp; Schultz, R. T. (2015). Psychiatric symptoms in youth with a history of autism and optimal outcome.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autism and developmental disorders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45</w:t>
      </w:r>
      <w:r>
        <w:rPr>
          <w:rFonts w:ascii="Arial" w:hAnsi="Arial" w:cs="Arial"/>
          <w:color w:val="222222"/>
          <w:sz w:val="20"/>
          <w:szCs w:val="20"/>
        </w:rPr>
        <w:t>(11), 3703-3714.</w:t>
      </w:r>
    </w:p>
    <w:p w14:paraId="7A7F3606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</w:p>
    <w:p w14:paraId="7D488008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r>
        <w:rPr>
          <w:rFonts w:ascii="Arial" w:hAnsi="Arial" w:cs="Arial"/>
          <w:color w:val="222222"/>
          <w:sz w:val="20"/>
          <w:szCs w:val="20"/>
        </w:rPr>
        <w:t>Anderson, D. K., Liang, J. W., &amp; Lord, C. (2014). Predicting young adult outcome among more and less cognitively able individuals with autism spectrum disorders.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Child Psychology and Psychiatry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55</w:t>
      </w:r>
      <w:r>
        <w:rPr>
          <w:rFonts w:ascii="Arial" w:hAnsi="Arial" w:cs="Arial"/>
          <w:color w:val="222222"/>
          <w:sz w:val="20"/>
          <w:szCs w:val="20"/>
        </w:rPr>
        <w:t>(5), 485-494.</w:t>
      </w:r>
    </w:p>
    <w:p w14:paraId="6164BCD9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</w:p>
    <w:p w14:paraId="70ADBA1B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Eigsti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I. M., Stevens, M. C., Schultz, R. T., Barton, M., Kelley, E.,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Naigles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L., ... &amp; Fein, D. A. (2016). Language comprehension and brain function in individuals with an optimal outcome from autism.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NeuroImage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</w:rPr>
        <w:t>: Clinical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, 182-191.</w:t>
      </w:r>
    </w:p>
    <w:p w14:paraId="53C97F84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</w:p>
    <w:p w14:paraId="742DBF65" w14:textId="77777777" w:rsidR="00811F8A" w:rsidRDefault="00811F8A" w:rsidP="00811F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5"/>
          <w:szCs w:val="35"/>
        </w:rPr>
      </w:pPr>
      <w:r>
        <w:rPr>
          <w:rFonts w:ascii="Arial" w:hAnsi="Arial" w:cs="Arial"/>
          <w:color w:val="222222"/>
          <w:sz w:val="20"/>
          <w:szCs w:val="20"/>
        </w:rPr>
        <w:t xml:space="preserve">Fountain, C., Winter, A. S.,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Bearman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P. S. (2012). Six developmental trajectories characterize children with autism. </w:t>
      </w:r>
      <w:r>
        <w:rPr>
          <w:rFonts w:ascii="Arial" w:hAnsi="Arial" w:cs="Arial"/>
          <w:i/>
          <w:iCs/>
          <w:color w:val="222222"/>
          <w:sz w:val="20"/>
          <w:szCs w:val="20"/>
        </w:rPr>
        <w:t>Pediatrics</w:t>
      </w:r>
      <w:r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</w:rPr>
        <w:t>129</w:t>
      </w:r>
      <w:r>
        <w:rPr>
          <w:rFonts w:ascii="Arial" w:hAnsi="Arial" w:cs="Arial"/>
          <w:color w:val="222222"/>
          <w:sz w:val="20"/>
          <w:szCs w:val="20"/>
        </w:rPr>
        <w:t>(5), e1112-e1120.</w:t>
      </w:r>
    </w:p>
    <w:p w14:paraId="34ECC02B" w14:textId="77777777" w:rsidR="00F233C2" w:rsidRDefault="00F233C2"/>
    <w:sectPr w:rsidR="00F233C2" w:rsidSect="00ED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8A"/>
    <w:rsid w:val="007D09AB"/>
    <w:rsid w:val="00811F8A"/>
    <w:rsid w:val="00ED2702"/>
    <w:rsid w:val="00F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AC2E6"/>
  <w15:chartTrackingRefBased/>
  <w15:docId w15:val="{0775B9E0-17BA-1E4B-9656-DD38C0D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2019-03-12T18:03:00Z</dcterms:created>
  <dcterms:modified xsi:type="dcterms:W3CDTF">2019-03-12T18:04:00Z</dcterms:modified>
</cp:coreProperties>
</file>